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1" w:rsidRPr="008475B1" w:rsidRDefault="008475B1" w:rsidP="008475B1">
      <w:pPr>
        <w:pStyle w:val="Title"/>
        <w:jc w:val="center"/>
      </w:pPr>
      <w:r w:rsidRPr="008475B1">
        <w:t xml:space="preserve">Cipparone &amp; </w:t>
      </w:r>
      <w:proofErr w:type="spellStart"/>
      <w:r w:rsidRPr="008475B1">
        <w:t>Zaccaro</w:t>
      </w:r>
      <w:proofErr w:type="spellEnd"/>
      <w:r w:rsidRPr="008475B1">
        <w:t>, PC</w:t>
      </w:r>
    </w:p>
    <w:p w:rsidR="00866246" w:rsidRPr="008475B1" w:rsidRDefault="00C265B9" w:rsidP="008475B1">
      <w:pPr>
        <w:pStyle w:val="Title"/>
        <w:jc w:val="center"/>
      </w:pPr>
      <w:r w:rsidRPr="008475B1">
        <w:t>Business Succession Checklist</w:t>
      </w:r>
    </w:p>
    <w:p w:rsidR="006979D7" w:rsidRDefault="006979D7" w:rsidP="006979D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979D7" w:rsidRDefault="006979D7" w:rsidP="006979D7">
      <w:pPr>
        <w:jc w:val="center"/>
        <w:rPr>
          <w:rFonts w:ascii="Arial" w:hAnsi="Arial" w:cs="Arial"/>
        </w:rPr>
      </w:pPr>
    </w:p>
    <w:p w:rsidR="006979D7" w:rsidRDefault="00C265B9" w:rsidP="00697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events will trigger a sale of an owner</w:t>
      </w:r>
      <w:r w:rsidR="008475B1">
        <w:rPr>
          <w:rFonts w:ascii="Arial" w:hAnsi="Arial" w:cs="Arial"/>
        </w:rPr>
        <w:t>’</w:t>
      </w:r>
      <w:r>
        <w:rPr>
          <w:rFonts w:ascii="Arial" w:hAnsi="Arial" w:cs="Arial"/>
        </w:rPr>
        <w:t>s shares?</w:t>
      </w:r>
    </w:p>
    <w:p w:rsidR="00C77CE4" w:rsidRDefault="00C77CE4" w:rsidP="00C77C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Death</w:t>
      </w:r>
    </w:p>
    <w:p w:rsidR="00C77CE4" w:rsidRDefault="00C77CE4" w:rsidP="00C77C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Termination of employment</w:t>
      </w:r>
    </w:p>
    <w:p w:rsidR="00C77CE4" w:rsidRDefault="00BC3C54" w:rsidP="00C77C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Disability</w:t>
      </w:r>
    </w:p>
    <w:p w:rsidR="006F7916" w:rsidRDefault="006F7916" w:rsidP="00C77C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Bankruptcy</w:t>
      </w:r>
    </w:p>
    <w:p w:rsidR="0032306B" w:rsidRDefault="0032306B" w:rsidP="00C77C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Divorce</w:t>
      </w:r>
    </w:p>
    <w:p w:rsidR="0032306B" w:rsidRDefault="0032306B" w:rsidP="0032306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Normal Retirement </w:t>
      </w:r>
    </w:p>
    <w:p w:rsidR="0032306B" w:rsidRDefault="0032306B" w:rsidP="0032306B">
      <w:pPr>
        <w:ind w:left="1080"/>
        <w:jc w:val="both"/>
        <w:rPr>
          <w:rFonts w:ascii="Arial" w:hAnsi="Arial" w:cs="Arial"/>
        </w:rPr>
      </w:pPr>
    </w:p>
    <w:p w:rsidR="00C77CE4" w:rsidRDefault="00C265B9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will be the Purchase Price for each share and </w:t>
      </w:r>
      <w:r w:rsidR="00DE4D77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will it be </w:t>
      </w:r>
      <w:r w:rsidR="00DE4D77">
        <w:rPr>
          <w:rFonts w:ascii="Arial" w:hAnsi="Arial" w:cs="Arial"/>
        </w:rPr>
        <w:t>determined</w:t>
      </w:r>
      <w:r>
        <w:rPr>
          <w:rFonts w:ascii="Arial" w:hAnsi="Arial" w:cs="Arial"/>
        </w:rPr>
        <w:t>?</w:t>
      </w:r>
    </w:p>
    <w:p w:rsidR="0032306B" w:rsidRDefault="0032306B" w:rsidP="0032306B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Appraisal  (</w:t>
      </w:r>
      <w:proofErr w:type="gramEnd"/>
      <w:r>
        <w:rPr>
          <w:rFonts w:ascii="Arial" w:hAnsi="Arial" w:cs="Arial"/>
        </w:rPr>
        <w:t>can be expensive; can accountant create a formula that would fairly state the value?)</w:t>
      </w:r>
    </w:p>
    <w:p w:rsidR="0032306B" w:rsidRDefault="0032306B" w:rsidP="0032306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Frequency of valuation</w:t>
      </w:r>
    </w:p>
    <w:p w:rsidR="0032306B" w:rsidRDefault="0032306B" w:rsidP="0032306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appraisers</w:t>
      </w:r>
    </w:p>
    <w:p w:rsidR="0032306B" w:rsidRDefault="0032306B" w:rsidP="0032306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 determined by appraisal now?</w:t>
      </w:r>
    </w:p>
    <w:p w:rsidR="0032306B" w:rsidRDefault="0032306B" w:rsidP="0032306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there be discounts for minority interest and lack of marketability?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C77CE4" w:rsidRDefault="00C265B9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the remaining owners pay for the selling owners shares?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Installment purchase allowed?   If so, over how many years and at what interest rate?</w:t>
      </w:r>
      <w:r w:rsidR="006659C7">
        <w:rPr>
          <w:rFonts w:ascii="Arial" w:hAnsi="Arial" w:cs="Arial"/>
        </w:rPr>
        <w:t xml:space="preserve">  Rate based on WSJ Prime Rate at time of purchase?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Pledge stock as collateral for installment sale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Interest </w:t>
      </w:r>
      <w:proofErr w:type="gramStart"/>
      <w:r>
        <w:rPr>
          <w:rFonts w:ascii="Arial" w:hAnsi="Arial" w:cs="Arial"/>
        </w:rPr>
        <w:t>rate  (</w:t>
      </w:r>
      <w:proofErr w:type="gramEnd"/>
      <w:r>
        <w:rPr>
          <w:rFonts w:ascii="Arial" w:hAnsi="Arial" w:cs="Arial"/>
        </w:rPr>
        <w:t>how determined?)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Deposit  (</w:t>
      </w:r>
      <w:proofErr w:type="gramEnd"/>
      <w:r>
        <w:rPr>
          <w:rFonts w:ascii="Arial" w:hAnsi="Arial" w:cs="Arial"/>
        </w:rPr>
        <w:t>how much?)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Promissory Note to evidence installment payment obligation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 life insurance?</w:t>
      </w:r>
    </w:p>
    <w:p w:rsidR="0032306B" w:rsidRDefault="0032306B" w:rsidP="0032306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Redemption and payment must be permitted by state law (only if </w:t>
      </w:r>
      <w:r w:rsidR="00665900">
        <w:rPr>
          <w:rFonts w:ascii="Arial" w:hAnsi="Arial" w:cs="Arial"/>
        </w:rPr>
        <w:t xml:space="preserve">Company </w:t>
      </w:r>
      <w:r>
        <w:rPr>
          <w:rFonts w:ascii="Arial" w:hAnsi="Arial" w:cs="Arial"/>
        </w:rPr>
        <w:t>is solvent can it make payment to shareholder)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C77CE4" w:rsidRDefault="00C265B9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the remaining shareholders have a right of first refusal if an owner wants to sell to an outside party?</w:t>
      </w:r>
    </w:p>
    <w:p w:rsidR="006659C7" w:rsidRDefault="006659C7" w:rsidP="006659C7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Assures that remaining shareholders retain ownership</w:t>
      </w:r>
    </w:p>
    <w:p w:rsidR="006659C7" w:rsidRDefault="006659C7" w:rsidP="006659C7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Decreases value of company to exiting shareholder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C77CE4" w:rsidRDefault="00C265B9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restrictions should be placed on an owner’s shares?</w:t>
      </w:r>
    </w:p>
    <w:p w:rsidR="006659C7" w:rsidRDefault="006659C7" w:rsidP="006659C7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 only sell to Company or shareholders</w:t>
      </w:r>
    </w:p>
    <w:p w:rsidR="006659C7" w:rsidRDefault="006659C7" w:rsidP="006659C7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Gifts to family members allowed as long as duty to sell when shareholder is required to do so?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C77CE4" w:rsidRDefault="00C265B9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Will life insurance be used to fund the purchase on the death of an owner?</w:t>
      </w:r>
    </w:p>
    <w:p w:rsidR="00C77CE4" w:rsidRDefault="00BC3C54" w:rsidP="00BC3C5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of premiums</w:t>
      </w:r>
      <w:r w:rsidR="006659C7">
        <w:rPr>
          <w:rFonts w:ascii="Arial" w:hAnsi="Arial" w:cs="Arial"/>
        </w:rPr>
        <w:t xml:space="preserve"> (company)</w:t>
      </w:r>
    </w:p>
    <w:p w:rsidR="00BC3C54" w:rsidRDefault="00BC3C54" w:rsidP="00BC3C5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Purchase price at least as high as insurance proceeds</w:t>
      </w:r>
    </w:p>
    <w:p w:rsidR="00BC3C54" w:rsidRDefault="00BC3C54" w:rsidP="00BC3C5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Transfer of life insurance policy after sale</w:t>
      </w:r>
    </w:p>
    <w:p w:rsidR="00BC3C54" w:rsidRDefault="00BC3C54" w:rsidP="00BC3C54">
      <w:pPr>
        <w:ind w:left="1080"/>
        <w:jc w:val="both"/>
        <w:rPr>
          <w:rFonts w:ascii="Arial" w:hAnsi="Arial" w:cs="Arial"/>
        </w:rPr>
      </w:pPr>
    </w:p>
    <w:p w:rsidR="00C77CE4" w:rsidRDefault="00C265B9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we have the life insurance payable to an independent party like our law firm and the remaining owners pledge their stock as collateral for the </w:t>
      </w:r>
      <w:r w:rsidR="008475B1">
        <w:rPr>
          <w:rFonts w:ascii="Arial" w:hAnsi="Arial" w:cs="Arial"/>
        </w:rPr>
        <w:t>amount owed above the life insurance proceeds?</w:t>
      </w:r>
    </w:p>
    <w:p w:rsidR="00CF42E4" w:rsidRDefault="00CF42E4" w:rsidP="00CF42E4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Assures that agreement followed</w:t>
      </w:r>
    </w:p>
    <w:p w:rsidR="00CF42E4" w:rsidRDefault="00CF42E4" w:rsidP="00CF42E4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Adds cost and complexity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C77CE4" w:rsidRDefault="008475B1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all parties have a right to specific performance of the sale?</w:t>
      </w:r>
    </w:p>
    <w:p w:rsidR="00CF42E4" w:rsidRDefault="00CF42E4" w:rsidP="00CF42E4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Right to sue to complete deal</w:t>
      </w:r>
      <w:r w:rsidR="008475B1">
        <w:rPr>
          <w:rFonts w:ascii="Arial" w:hAnsi="Arial" w:cs="Arial"/>
        </w:rPr>
        <w:t xml:space="preserve"> as signed</w:t>
      </w:r>
    </w:p>
    <w:p w:rsidR="00CF42E4" w:rsidRDefault="00CF42E4" w:rsidP="00CF42E4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Would money damages suffice?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C77CE4" w:rsidRDefault="008475B1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what circumstances should this business succession plan terminate?</w:t>
      </w:r>
    </w:p>
    <w:p w:rsidR="00280320" w:rsidRDefault="00280320" w:rsidP="0028032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Bankruptcy </w:t>
      </w:r>
    </w:p>
    <w:p w:rsidR="00280320" w:rsidRDefault="00280320" w:rsidP="0028032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Agreement </w:t>
      </w:r>
      <w:r w:rsidR="008475B1">
        <w:rPr>
          <w:rFonts w:ascii="Arial" w:hAnsi="Arial" w:cs="Arial"/>
        </w:rPr>
        <w:t>of all parties</w:t>
      </w:r>
    </w:p>
    <w:p w:rsidR="00280320" w:rsidRDefault="00280320" w:rsidP="0028032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Sale of </w:t>
      </w:r>
      <w:r w:rsidR="008475B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Company</w:t>
      </w:r>
      <w:r w:rsidR="008475B1">
        <w:rPr>
          <w:rFonts w:ascii="Arial" w:hAnsi="Arial" w:cs="Arial"/>
        </w:rPr>
        <w:t xml:space="preserve"> by all owners</w:t>
      </w:r>
    </w:p>
    <w:p w:rsidR="00280320" w:rsidRDefault="00280320" w:rsidP="00C77CE4">
      <w:pPr>
        <w:jc w:val="both"/>
        <w:rPr>
          <w:rFonts w:ascii="Arial" w:hAnsi="Arial" w:cs="Arial"/>
        </w:rPr>
      </w:pPr>
    </w:p>
    <w:p w:rsidR="00280320" w:rsidRDefault="008475B1" w:rsidP="00C7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the business succession plan include a Non-Competition Agreement?</w:t>
      </w:r>
    </w:p>
    <w:p w:rsidR="00280320" w:rsidRDefault="00280320" w:rsidP="00280320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Nonsolicitation</w:t>
      </w:r>
      <w:proofErr w:type="spellEnd"/>
      <w:r>
        <w:rPr>
          <w:rFonts w:ascii="Arial" w:hAnsi="Arial" w:cs="Arial"/>
        </w:rPr>
        <w:t xml:space="preserve"> of employees</w:t>
      </w:r>
    </w:p>
    <w:p w:rsidR="00280320" w:rsidRDefault="00280320" w:rsidP="002803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Confidentiality</w:t>
      </w:r>
    </w:p>
    <w:p w:rsidR="00280320" w:rsidRDefault="00280320" w:rsidP="002803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Equitable Relief</w:t>
      </w:r>
      <w:r w:rsidR="008475B1">
        <w:rPr>
          <w:rFonts w:ascii="Arial" w:hAnsi="Arial" w:cs="Arial"/>
        </w:rPr>
        <w:t xml:space="preserve"> for violation of the Agreement</w:t>
      </w:r>
    </w:p>
    <w:p w:rsidR="00C77CE4" w:rsidRDefault="00C77CE4" w:rsidP="00C77CE4">
      <w:pPr>
        <w:jc w:val="both"/>
        <w:rPr>
          <w:rFonts w:ascii="Arial" w:hAnsi="Arial" w:cs="Arial"/>
        </w:rPr>
      </w:pPr>
    </w:p>
    <w:p w:rsidR="00A951F6" w:rsidRDefault="008475B1" w:rsidP="00A95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 dispute arises over the business succession plan, how should the dispute be resolved?</w:t>
      </w:r>
    </w:p>
    <w:p w:rsidR="00AE7427" w:rsidRDefault="00A951F6" w:rsidP="00A951F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951F6">
        <w:rPr>
          <w:rFonts w:ascii="Arial" w:hAnsi="Arial" w:cs="Arial"/>
        </w:rPr>
        <w:t>Mediation</w:t>
      </w:r>
    </w:p>
    <w:p w:rsidR="00AE7427" w:rsidRDefault="00A951F6" w:rsidP="00A951F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951F6">
        <w:rPr>
          <w:rFonts w:ascii="Arial" w:hAnsi="Arial" w:cs="Arial"/>
        </w:rPr>
        <w:t>Arbitration</w:t>
      </w:r>
    </w:p>
    <w:p w:rsidR="00AE7427" w:rsidRDefault="00A951F6" w:rsidP="00A951F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951F6">
        <w:rPr>
          <w:rFonts w:ascii="Arial" w:hAnsi="Arial" w:cs="Arial"/>
        </w:rPr>
        <w:t>Court action</w:t>
      </w:r>
    </w:p>
    <w:p w:rsidR="00A951F6" w:rsidRPr="00A951F6" w:rsidRDefault="00A951F6" w:rsidP="00A951F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951F6">
        <w:rPr>
          <w:rFonts w:ascii="Arial" w:hAnsi="Arial" w:cs="Arial"/>
        </w:rPr>
        <w:t xml:space="preserve">Who pays attorneys </w:t>
      </w:r>
      <w:proofErr w:type="gramStart"/>
      <w:r w:rsidRPr="00A951F6">
        <w:rPr>
          <w:rFonts w:ascii="Arial" w:hAnsi="Arial" w:cs="Arial"/>
        </w:rPr>
        <w:t>fees</w:t>
      </w:r>
      <w:r w:rsidR="00AE7427">
        <w:rPr>
          <w:rFonts w:ascii="Arial" w:hAnsi="Arial" w:cs="Arial"/>
        </w:rPr>
        <w:t>.</w:t>
      </w:r>
      <w:proofErr w:type="gramEnd"/>
      <w:r w:rsidR="00AE7427">
        <w:rPr>
          <w:rFonts w:ascii="Arial" w:hAnsi="Arial" w:cs="Arial"/>
        </w:rPr>
        <w:t xml:space="preserve">   Prevailing party?</w:t>
      </w:r>
    </w:p>
    <w:p w:rsidR="00A951F6" w:rsidRPr="00A951F6" w:rsidRDefault="00A951F6" w:rsidP="00A951F6">
      <w:pPr>
        <w:jc w:val="both"/>
        <w:rPr>
          <w:rFonts w:ascii="Arial" w:hAnsi="Arial" w:cs="Arial"/>
        </w:rPr>
      </w:pPr>
    </w:p>
    <w:p w:rsidR="00A951F6" w:rsidRDefault="008475B1" w:rsidP="00A95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Will the remaining owners have a Business Consulting Agreement with the selling owner?</w:t>
      </w:r>
    </w:p>
    <w:p w:rsidR="008475B1" w:rsidRDefault="008475B1" w:rsidP="008475B1">
      <w:pPr>
        <w:pStyle w:val="ListParagraph"/>
        <w:numPr>
          <w:ilvl w:val="0"/>
          <w:numId w:val="23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Eases transition</w:t>
      </w:r>
    </w:p>
    <w:p w:rsidR="008475B1" w:rsidRDefault="008475B1" w:rsidP="008475B1">
      <w:pPr>
        <w:pStyle w:val="ListParagraph"/>
        <w:numPr>
          <w:ilvl w:val="0"/>
          <w:numId w:val="23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What rate of pay</w:t>
      </w:r>
    </w:p>
    <w:p w:rsidR="008475B1" w:rsidRDefault="008475B1" w:rsidP="008475B1">
      <w:pPr>
        <w:pStyle w:val="ListParagraph"/>
        <w:numPr>
          <w:ilvl w:val="0"/>
          <w:numId w:val="23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What benefits</w:t>
      </w:r>
    </w:p>
    <w:p w:rsidR="008475B1" w:rsidRPr="008475B1" w:rsidRDefault="008475B1" w:rsidP="008475B1">
      <w:pPr>
        <w:pStyle w:val="ListParagraph"/>
        <w:numPr>
          <w:ilvl w:val="0"/>
          <w:numId w:val="23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Grounds for terminating the Agreement</w:t>
      </w:r>
    </w:p>
    <w:sectPr w:rsidR="008475B1" w:rsidRPr="008475B1" w:rsidSect="0009116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B1" w:rsidRDefault="008475B1" w:rsidP="008475B1">
      <w:r>
        <w:separator/>
      </w:r>
    </w:p>
  </w:endnote>
  <w:endnote w:type="continuationSeparator" w:id="0">
    <w:p w:rsidR="008475B1" w:rsidRDefault="008475B1" w:rsidP="008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B1" w:rsidRDefault="008579B1">
    <w:pPr>
      <w:pStyle w:val="Footer"/>
    </w:pPr>
    <w:r>
      <w:t xml:space="preserve">Cipparone &amp; </w:t>
    </w:r>
    <w:proofErr w:type="spellStart"/>
    <w:r>
      <w:t>Zaccaro</w:t>
    </w:r>
    <w:proofErr w:type="spellEnd"/>
    <w:r>
      <w:t xml:space="preserve">, PC </w:t>
    </w:r>
    <w:r>
      <w:tab/>
    </w:r>
    <w:hyperlink r:id="rId1" w:history="1">
      <w:r w:rsidRPr="0060229E">
        <w:rPr>
          <w:rStyle w:val="Hyperlink"/>
        </w:rPr>
        <w:t>www.261law.com</w:t>
      </w:r>
    </w:hyperlink>
    <w:r>
      <w:tab/>
      <w:t xml:space="preserve">Page </w:t>
    </w:r>
    <w:r w:rsidRPr="008579B1">
      <w:fldChar w:fldCharType="begin"/>
    </w:r>
    <w:r w:rsidRPr="008579B1">
      <w:instrText xml:space="preserve"> PAGE   \* MERGEFORMAT </w:instrText>
    </w:r>
    <w:r w:rsidRPr="008579B1">
      <w:fldChar w:fldCharType="separate"/>
    </w:r>
    <w:r>
      <w:rPr>
        <w:noProof/>
      </w:rPr>
      <w:t>1</w:t>
    </w:r>
    <w:r w:rsidRPr="008579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B1" w:rsidRDefault="008475B1" w:rsidP="008475B1">
      <w:r>
        <w:separator/>
      </w:r>
    </w:p>
  </w:footnote>
  <w:footnote w:type="continuationSeparator" w:id="0">
    <w:p w:rsidR="008475B1" w:rsidRDefault="008475B1" w:rsidP="0084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24B"/>
    <w:multiLevelType w:val="hybridMultilevel"/>
    <w:tmpl w:val="9276325C"/>
    <w:lvl w:ilvl="0" w:tplc="9F18E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47A5C"/>
    <w:multiLevelType w:val="hybridMultilevel"/>
    <w:tmpl w:val="D0DE71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B01F02"/>
    <w:multiLevelType w:val="hybridMultilevel"/>
    <w:tmpl w:val="AEA20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0A161B"/>
    <w:multiLevelType w:val="multilevel"/>
    <w:tmpl w:val="F4C26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D50A6"/>
    <w:multiLevelType w:val="hybridMultilevel"/>
    <w:tmpl w:val="4B5688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9B1DB1"/>
    <w:multiLevelType w:val="hybridMultilevel"/>
    <w:tmpl w:val="82F45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273D29"/>
    <w:multiLevelType w:val="hybridMultilevel"/>
    <w:tmpl w:val="272ABB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196C0C"/>
    <w:multiLevelType w:val="hybridMultilevel"/>
    <w:tmpl w:val="8FF4F3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B09C9"/>
    <w:multiLevelType w:val="hybridMultilevel"/>
    <w:tmpl w:val="35C8B7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B91D65"/>
    <w:multiLevelType w:val="hybridMultilevel"/>
    <w:tmpl w:val="D17E48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F8101E"/>
    <w:multiLevelType w:val="hybridMultilevel"/>
    <w:tmpl w:val="E9F86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2A3686"/>
    <w:multiLevelType w:val="hybridMultilevel"/>
    <w:tmpl w:val="BDE6C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386C1E"/>
    <w:multiLevelType w:val="hybridMultilevel"/>
    <w:tmpl w:val="F29272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671561"/>
    <w:multiLevelType w:val="hybridMultilevel"/>
    <w:tmpl w:val="CF7C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8166B"/>
    <w:multiLevelType w:val="hybridMultilevel"/>
    <w:tmpl w:val="5E2070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AD7F8A"/>
    <w:multiLevelType w:val="hybridMultilevel"/>
    <w:tmpl w:val="520AA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0E68EA"/>
    <w:multiLevelType w:val="hybridMultilevel"/>
    <w:tmpl w:val="392CB3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E24001E"/>
    <w:multiLevelType w:val="hybridMultilevel"/>
    <w:tmpl w:val="5DB2F4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DA4E2F"/>
    <w:multiLevelType w:val="hybridMultilevel"/>
    <w:tmpl w:val="43F2F0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AD70B3"/>
    <w:multiLevelType w:val="hybridMultilevel"/>
    <w:tmpl w:val="C916FE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125A6D"/>
    <w:multiLevelType w:val="hybridMultilevel"/>
    <w:tmpl w:val="C2DE6D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6971CF"/>
    <w:multiLevelType w:val="hybridMultilevel"/>
    <w:tmpl w:val="FDAC6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6B62F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5BC0719"/>
    <w:multiLevelType w:val="hybridMultilevel"/>
    <w:tmpl w:val="F4C26110"/>
    <w:lvl w:ilvl="0" w:tplc="96B62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5"/>
  </w:num>
  <w:num w:numId="5">
    <w:abstractNumId w:val="1"/>
  </w:num>
  <w:num w:numId="6">
    <w:abstractNumId w:val="21"/>
  </w:num>
  <w:num w:numId="7">
    <w:abstractNumId w:val="4"/>
  </w:num>
  <w:num w:numId="8">
    <w:abstractNumId w:val="7"/>
  </w:num>
  <w:num w:numId="9">
    <w:abstractNumId w:val="17"/>
  </w:num>
  <w:num w:numId="10">
    <w:abstractNumId w:val="22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  <w:num w:numId="17">
    <w:abstractNumId w:val="16"/>
  </w:num>
  <w:num w:numId="18">
    <w:abstractNumId w:val="19"/>
  </w:num>
  <w:num w:numId="19">
    <w:abstractNumId w:val="11"/>
  </w:num>
  <w:num w:numId="20">
    <w:abstractNumId w:val="6"/>
  </w:num>
  <w:num w:numId="21">
    <w:abstractNumId w:val="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B"/>
    <w:rsid w:val="0009116B"/>
    <w:rsid w:val="000D5828"/>
    <w:rsid w:val="000F0363"/>
    <w:rsid w:val="00280320"/>
    <w:rsid w:val="0032306B"/>
    <w:rsid w:val="0033747A"/>
    <w:rsid w:val="004444DD"/>
    <w:rsid w:val="0059350C"/>
    <w:rsid w:val="00665900"/>
    <w:rsid w:val="006659C7"/>
    <w:rsid w:val="006979D7"/>
    <w:rsid w:val="006F7916"/>
    <w:rsid w:val="007301D9"/>
    <w:rsid w:val="007911EA"/>
    <w:rsid w:val="008475B1"/>
    <w:rsid w:val="008579B1"/>
    <w:rsid w:val="00866246"/>
    <w:rsid w:val="008D572D"/>
    <w:rsid w:val="008F25C8"/>
    <w:rsid w:val="009E348E"/>
    <w:rsid w:val="00A44D7C"/>
    <w:rsid w:val="00A951F6"/>
    <w:rsid w:val="00AE7427"/>
    <w:rsid w:val="00BC3C54"/>
    <w:rsid w:val="00C265B9"/>
    <w:rsid w:val="00C42B43"/>
    <w:rsid w:val="00C77CE4"/>
    <w:rsid w:val="00CF42E4"/>
    <w:rsid w:val="00D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475B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7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4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5B1"/>
    <w:rPr>
      <w:sz w:val="24"/>
      <w:szCs w:val="24"/>
    </w:rPr>
  </w:style>
  <w:style w:type="paragraph" w:styleId="Footer">
    <w:name w:val="footer"/>
    <w:basedOn w:val="Normal"/>
    <w:link w:val="FooterChar"/>
    <w:rsid w:val="0084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75B1"/>
    <w:rPr>
      <w:sz w:val="24"/>
      <w:szCs w:val="24"/>
    </w:rPr>
  </w:style>
  <w:style w:type="paragraph" w:styleId="BalloonText">
    <w:name w:val="Balloon Text"/>
    <w:basedOn w:val="Normal"/>
    <w:link w:val="BalloonTextChar"/>
    <w:rsid w:val="0084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475B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7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4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5B1"/>
    <w:rPr>
      <w:sz w:val="24"/>
      <w:szCs w:val="24"/>
    </w:rPr>
  </w:style>
  <w:style w:type="paragraph" w:styleId="Footer">
    <w:name w:val="footer"/>
    <w:basedOn w:val="Normal"/>
    <w:link w:val="FooterChar"/>
    <w:rsid w:val="0084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75B1"/>
    <w:rPr>
      <w:sz w:val="24"/>
      <w:szCs w:val="24"/>
    </w:rPr>
  </w:style>
  <w:style w:type="paragraph" w:styleId="BalloonText">
    <w:name w:val="Balloon Text"/>
    <w:basedOn w:val="Normal"/>
    <w:link w:val="BalloonTextChar"/>
    <w:rsid w:val="0084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BUY-SELL AGREEMENT</vt:lpstr>
    </vt:vector>
  </TitlesOfParts>
  <Company>Reid and Riege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BUY-SELL AGREEMENT</dc:title>
  <dc:creator>JCIPPARONE</dc:creator>
  <cp:lastModifiedBy>Joe Cipparone</cp:lastModifiedBy>
  <cp:revision>3</cp:revision>
  <cp:lastPrinted>2005-04-01T15:18:00Z</cp:lastPrinted>
  <dcterms:created xsi:type="dcterms:W3CDTF">2013-07-20T15:59:00Z</dcterms:created>
  <dcterms:modified xsi:type="dcterms:W3CDTF">2013-07-20T16:20:00Z</dcterms:modified>
</cp:coreProperties>
</file>